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Eastham</w:t>
      </w:r>
      <w:r>
        <w:rPr>
          <w:rFonts w:ascii="Goudy Old Style" w:hAnsi="Goudy Old Style"/>
          <w:b w:val="false"/>
          <w:bCs w:val="false"/>
          <w:color w:val="000000"/>
        </w:rPr>
        <w:t>. Housing MA. Web. 10 Sep 2026. &lt;housingma.herokuapp.com/eastham/report}&gt;.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Eastham is home to 5000 residents, a decrease of 9.1 percent from 2000. In 2010, working-age adults between 20 and 65 made up 52 percent of the population and seniors over 65 made up 32 percent School-age children, between 5 and 19, make up 11 percent of current residents. Between 2005 and 2012, school enrollment decreased by 220,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the aging of the Baby Boomers will cause the senior population to increase by 700 people, or 44 percent, through 2030, as seen in Figure 1. The total population is projected to decrease by 1,500, or 30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12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 decreased by 0 percent between 2000 and 2010, from 2400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2.24 in 2000 to 2.08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Eastham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16% of Eastham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 are projected to decrease by 2,400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Eastham;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total households decreased by 0, or 0 percent, between 2000 and 2010. At the same time, average household size decreased from 2.24 to 2.08.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Eastham, as well as its distribution by unit type, building age, size, and cost. We also look at housing permits in Eastham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6.2% of housing units are in buildings built before 1939, compared to 6.2% statewide. Another 17% and 31% of Eastham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Eastham, 97% of units are in single family homes, compared to 76% statewide and 79% for Maturing Suburb-type municipalities; 3% of all units are in two- to four-family buildings; and 0.31%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Eastham permitted 22 single family and 0 multi-family housing units annually. By comparison, Eastham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 10%, 16%, and 18% of households are extremely low, very low, and low income, respectively. This means that 44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Eastham,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Eastham, 71%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68% of non-elderly, non-family households are cost burdened, respectively. As the number of elderly households increases, the number of cost-burdened elderly households is likely to increase. In Eastham, cost burden among elderly family households and non-elderly, non-family households is 15% and 68%,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Eastham households at less than  50% AMI, 50 to 80% AMI, and above 80% AMI, face affordability gaps of 350, 290,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